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DDE27" w14:textId="582A8468" w:rsidR="0071020B" w:rsidRPr="0071020B" w:rsidRDefault="0071020B" w:rsidP="0071020B">
      <w:pPr>
        <w:jc w:val="center"/>
        <w:rPr>
          <w:rFonts w:ascii="Times New Roman" w:hAnsi="Times New Roman" w:cs="Times New Roman"/>
          <w:b/>
          <w:bCs/>
          <w:lang w:val="de-DE"/>
        </w:rPr>
      </w:pPr>
      <w:proofErr w:type="spellStart"/>
      <w:r w:rsidRPr="0071020B">
        <w:rPr>
          <w:rFonts w:ascii="Times New Roman" w:hAnsi="Times New Roman" w:cs="Times New Roman"/>
          <w:b/>
          <w:bCs/>
          <w:lang w:val="de-DE"/>
        </w:rPr>
        <w:t>Optikusnervus</w:t>
      </w:r>
      <w:proofErr w:type="spellEnd"/>
      <w:r w:rsidRPr="0071020B">
        <w:rPr>
          <w:rFonts w:ascii="Times New Roman" w:hAnsi="Times New Roman" w:cs="Times New Roman"/>
          <w:b/>
          <w:bCs/>
          <w:lang w:val="de-DE"/>
        </w:rPr>
        <w:t xml:space="preserve">-Sonographie </w:t>
      </w:r>
      <w:r>
        <w:rPr>
          <w:rFonts w:ascii="Times New Roman" w:hAnsi="Times New Roman" w:cs="Times New Roman"/>
          <w:b/>
          <w:bCs/>
          <w:lang w:val="de-DE"/>
        </w:rPr>
        <w:t xml:space="preserve">und </w:t>
      </w:r>
      <w:r w:rsidRPr="0071020B">
        <w:rPr>
          <w:rFonts w:ascii="Times New Roman" w:hAnsi="Times New Roman" w:cs="Times New Roman"/>
          <w:b/>
          <w:bCs/>
          <w:lang w:val="de-DE"/>
        </w:rPr>
        <w:t>Chimeric-Antigen Rezeptor (CAR) Therapie in Patienten mit diffuse-großzellige</w:t>
      </w:r>
      <w:r w:rsidR="00783003">
        <w:rPr>
          <w:rFonts w:ascii="Times New Roman" w:hAnsi="Times New Roman" w:cs="Times New Roman"/>
          <w:b/>
          <w:bCs/>
          <w:lang w:val="de-DE"/>
        </w:rPr>
        <w:t>n</w:t>
      </w:r>
      <w:r w:rsidRPr="0071020B">
        <w:rPr>
          <w:rFonts w:ascii="Times New Roman" w:hAnsi="Times New Roman" w:cs="Times New Roman"/>
          <w:b/>
          <w:bCs/>
          <w:lang w:val="de-DE"/>
        </w:rPr>
        <w:t xml:space="preserve"> B-Zell-Lymphomen</w:t>
      </w:r>
    </w:p>
    <w:p w14:paraId="70E02547" w14:textId="77777777" w:rsidR="0071020B" w:rsidRPr="0071020B" w:rsidRDefault="0071020B" w:rsidP="0071020B">
      <w:pPr>
        <w:rPr>
          <w:rFonts w:ascii="Times New Roman" w:hAnsi="Times New Roman" w:cs="Times New Roman"/>
          <w:lang w:val="de-DE"/>
        </w:rPr>
      </w:pPr>
    </w:p>
    <w:p w14:paraId="62030DF3" w14:textId="77777777" w:rsidR="0071020B" w:rsidRDefault="0071020B" w:rsidP="0071020B">
      <w:pPr>
        <w:rPr>
          <w:rFonts w:ascii="Times New Roman" w:hAnsi="Times New Roman" w:cs="Times New Roman"/>
          <w:b/>
          <w:bCs/>
          <w:lang w:val="de-DE"/>
        </w:rPr>
      </w:pPr>
      <w:r w:rsidRPr="0071020B">
        <w:rPr>
          <w:rFonts w:ascii="Times New Roman" w:hAnsi="Times New Roman" w:cs="Times New Roman"/>
          <w:b/>
          <w:bCs/>
          <w:lang w:val="de-DE"/>
        </w:rPr>
        <w:t>Einleitung:</w:t>
      </w:r>
    </w:p>
    <w:p w14:paraId="4F2E9D52" w14:textId="77777777" w:rsidR="004C67AE" w:rsidRPr="0071020B" w:rsidRDefault="004C67AE" w:rsidP="0071020B">
      <w:pPr>
        <w:rPr>
          <w:rFonts w:ascii="Times New Roman" w:hAnsi="Times New Roman" w:cs="Times New Roman"/>
          <w:b/>
          <w:bCs/>
          <w:lang w:val="de-DE"/>
        </w:rPr>
      </w:pPr>
    </w:p>
    <w:p w14:paraId="2A3B188B" w14:textId="28628AE2" w:rsidR="0071020B" w:rsidRDefault="0071020B" w:rsidP="0071020B">
      <w:pPr>
        <w:rPr>
          <w:rFonts w:ascii="Times New Roman" w:hAnsi="Times New Roman" w:cs="Times New Roman"/>
          <w:lang w:val="de-DE"/>
        </w:rPr>
      </w:pPr>
      <w:r w:rsidRPr="0071020B">
        <w:rPr>
          <w:rFonts w:ascii="Times New Roman" w:hAnsi="Times New Roman" w:cs="Times New Roman"/>
          <w:lang w:val="de-DE"/>
        </w:rPr>
        <w:t xml:space="preserve">Das neurotoxische Syndrom in Verbindung mit immunwirksamen Zellen (ICANS) ist eine schwere akute Komplikation der </w:t>
      </w:r>
      <w:r w:rsidRPr="0071020B">
        <w:rPr>
          <w:rFonts w:ascii="Times New Roman" w:hAnsi="Times New Roman" w:cs="Times New Roman"/>
          <w:i/>
          <w:iCs/>
          <w:lang w:val="de-DE"/>
        </w:rPr>
        <w:t>chimeric antigen receptor</w:t>
      </w:r>
      <w:r w:rsidRPr="0071020B">
        <w:rPr>
          <w:rFonts w:ascii="Times New Roman" w:hAnsi="Times New Roman" w:cs="Times New Roman"/>
          <w:lang w:val="de-DE"/>
        </w:rPr>
        <w:t>-Therapie (CAR-T). Die Inzidenz und Schweregrade von ICANS hängen sowohl von der zugrunde liegenden Erkrankung als auch vom CAR-T-Produkt selbst ab.(1) Bei großzelligem B-Zell-Lymphom (LBCL) kann die Inzidenz von schwerem ICANS bis zu 21% betragen.(2) Die nicht-rückfallbedingte Mortalität (NRM) aufgrund von ICANS wird auf etwa 6% geschätzt.(3) Die Diagnose von ICANS basiert sich primär auf klinischer Beobachtung unter Verwendung des Immuneffektorzell-assoziierten Scores (ICE).(4)</w:t>
      </w:r>
    </w:p>
    <w:p w14:paraId="532A094A" w14:textId="77777777" w:rsidR="0071020B" w:rsidRPr="0071020B" w:rsidRDefault="0071020B" w:rsidP="0071020B">
      <w:pPr>
        <w:rPr>
          <w:rFonts w:ascii="Times New Roman" w:hAnsi="Times New Roman" w:cs="Times New Roman"/>
          <w:lang w:val="de-DE"/>
        </w:rPr>
      </w:pPr>
    </w:p>
    <w:p w14:paraId="38294A3D" w14:textId="29C28A5C"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Bislang sind keine spezifischen biologischen Marker für ICANS bekannt. Dies könnte zu einer verzögerten ICANS-Diagnose und möglicherweise ineffizienter Therapie sowie  höherer NRM führen. Es wurden einige präventive Maßnahmen gegen ICANS vorgeschlagen. Eine hochdosierte Gabe von Kortikosteroiden oder eine Therapie mit Anti-IL-1-Antikörpern wurden intensiv als prophylaktische Behandlung bei Patienten, die CAR-T erhalten, untersucht.(5–7) Diese Strategien könnten sich auf die antitumorale Wirkung von CAR-T auswirken und das Risiko für Infektionskomplikationen erhöhen. Eine Strategie zur Reduzierung des ICANS-Risikos könnte auf der frühzeitigen Identifizierung von ICANS und besseren präventiven Therapiestrategien beruhen. Aus pathophysiologischer Sicht geht ICANS mit einem gewissen Grad an Hirnödem einher.(8) Im neurologischen Kontext von Hirnödemen außerhalb des CAR-T-Themas sind nichtinvasive Maßnahmen des Optikusnervs ein unverzichtbares</w:t>
      </w:r>
      <w:r w:rsidR="00823E05">
        <w:rPr>
          <w:rFonts w:ascii="Times New Roman" w:hAnsi="Times New Roman" w:cs="Times New Roman"/>
          <w:lang w:val="de-DE"/>
        </w:rPr>
        <w:t>,</w:t>
      </w:r>
      <w:r w:rsidRPr="0071020B">
        <w:rPr>
          <w:rFonts w:ascii="Times New Roman" w:hAnsi="Times New Roman" w:cs="Times New Roman"/>
          <w:lang w:val="de-DE"/>
        </w:rPr>
        <w:t xml:space="preserve"> </w:t>
      </w:r>
      <w:r w:rsidR="00823E05">
        <w:rPr>
          <w:rFonts w:ascii="Times New Roman" w:hAnsi="Times New Roman" w:cs="Times New Roman"/>
          <w:lang w:val="de-DE"/>
        </w:rPr>
        <w:t xml:space="preserve">gut etabliertes </w:t>
      </w:r>
      <w:r w:rsidRPr="0071020B">
        <w:rPr>
          <w:rFonts w:ascii="Times New Roman" w:hAnsi="Times New Roman" w:cs="Times New Roman"/>
          <w:lang w:val="de-DE"/>
        </w:rPr>
        <w:t>diagnostisches Werkzeug.(9) Berichte über gute Sensitivität und Spezifität der Ultraschallmessung des Optikusnervs wurden ausgiebig veröffentlicht.(10,11)</w:t>
      </w:r>
    </w:p>
    <w:p w14:paraId="2311D36A" w14:textId="77777777" w:rsidR="0071020B" w:rsidRPr="0071020B" w:rsidRDefault="0071020B" w:rsidP="0071020B">
      <w:pPr>
        <w:rPr>
          <w:rFonts w:ascii="Times New Roman" w:hAnsi="Times New Roman" w:cs="Times New Roman"/>
          <w:lang w:val="de-DE"/>
        </w:rPr>
      </w:pPr>
    </w:p>
    <w:p w14:paraId="7DE84765" w14:textId="77777777" w:rsidR="0071020B" w:rsidRDefault="0071020B" w:rsidP="0071020B">
      <w:pPr>
        <w:rPr>
          <w:rFonts w:ascii="Times New Roman" w:hAnsi="Times New Roman" w:cs="Times New Roman"/>
          <w:b/>
          <w:bCs/>
          <w:lang w:val="de-DE"/>
        </w:rPr>
      </w:pPr>
      <w:r w:rsidRPr="0071020B">
        <w:rPr>
          <w:rFonts w:ascii="Times New Roman" w:hAnsi="Times New Roman" w:cs="Times New Roman"/>
          <w:b/>
          <w:bCs/>
          <w:lang w:val="de-DE"/>
        </w:rPr>
        <w:t>Forschungsfrage oder Hypothese:</w:t>
      </w:r>
    </w:p>
    <w:p w14:paraId="15EA90D0" w14:textId="77777777" w:rsidR="004C67AE" w:rsidRPr="0071020B" w:rsidRDefault="004C67AE" w:rsidP="0071020B">
      <w:pPr>
        <w:rPr>
          <w:rFonts w:ascii="Times New Roman" w:hAnsi="Times New Roman" w:cs="Times New Roman"/>
          <w:b/>
          <w:bCs/>
          <w:lang w:val="de-DE"/>
        </w:rPr>
      </w:pPr>
    </w:p>
    <w:p w14:paraId="5307EF3E" w14:textId="77777777"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Wir möchten untersuchen, ob der Durchmesser des Optikusnervs mit dem Beginn und dem Schweregrad von ICANS bei Patienten mit großzelligem B-Zell-Lymphom korreliert.</w:t>
      </w:r>
    </w:p>
    <w:p w14:paraId="7271F99C" w14:textId="77777777" w:rsidR="0071020B" w:rsidRPr="0071020B" w:rsidRDefault="0071020B" w:rsidP="0071020B">
      <w:pPr>
        <w:rPr>
          <w:rFonts w:ascii="Times New Roman" w:hAnsi="Times New Roman" w:cs="Times New Roman"/>
          <w:lang w:val="de-DE"/>
        </w:rPr>
      </w:pPr>
    </w:p>
    <w:p w14:paraId="1981B894" w14:textId="77777777" w:rsidR="0071020B" w:rsidRDefault="0071020B" w:rsidP="0071020B">
      <w:pPr>
        <w:rPr>
          <w:rFonts w:ascii="Times New Roman" w:hAnsi="Times New Roman" w:cs="Times New Roman"/>
          <w:b/>
          <w:bCs/>
          <w:lang w:val="de-DE"/>
        </w:rPr>
      </w:pPr>
      <w:r w:rsidRPr="0071020B">
        <w:rPr>
          <w:rFonts w:ascii="Times New Roman" w:hAnsi="Times New Roman" w:cs="Times New Roman"/>
          <w:b/>
          <w:bCs/>
          <w:lang w:val="de-DE"/>
        </w:rPr>
        <w:t>Ziele:</w:t>
      </w:r>
    </w:p>
    <w:p w14:paraId="73072F18" w14:textId="77777777" w:rsidR="004C67AE" w:rsidRPr="0071020B" w:rsidRDefault="004C67AE" w:rsidP="0071020B">
      <w:pPr>
        <w:rPr>
          <w:rFonts w:ascii="Times New Roman" w:hAnsi="Times New Roman" w:cs="Times New Roman"/>
          <w:b/>
          <w:bCs/>
          <w:lang w:val="de-DE"/>
        </w:rPr>
      </w:pPr>
    </w:p>
    <w:p w14:paraId="2092D69E" w14:textId="77777777"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Wir schlagen vor, den Durchmesser des Optikusnervs bei Patienten mit großzelligem B-Zell-Lymphom, die mit CAR-T-Produkten behandelt werden, zu messen und ihn mit dem Tag des Auftretens und dem Schweregrad von ICANS zu korrelieren. Nach der Datensammlung möchten wir untersuchen, ob die Zunahme des Durchmessers des Optikusnervs den Beginn und die Schwere von ICANS vorhersagen kann. Ein weiteres Ziel unserer Studie ist es, die Veränderungen des Durchmessers des Optikusnervs während des gesamten Behandlungszeitraums zu beschreiben. Wir möchten herausfinden, ob die Veränderungen im Durchmesser des Optikusnervs mit einer bestimmten Behandlungsphase, Medikamentenanwendung (wie Kortikosteroide und Anti-IL-1- und Anti-IL-6-Antikörper), Zytokin-Freisetzungssyndrom, hämatologischer Toxizität und neurologischen Komplikationen korrelieren.</w:t>
      </w:r>
    </w:p>
    <w:p w14:paraId="3C401E80" w14:textId="77777777" w:rsidR="0071020B" w:rsidRPr="0071020B" w:rsidRDefault="0071020B" w:rsidP="0071020B">
      <w:pPr>
        <w:rPr>
          <w:rFonts w:ascii="Times New Roman" w:hAnsi="Times New Roman" w:cs="Times New Roman"/>
          <w:lang w:val="de-DE"/>
        </w:rPr>
      </w:pPr>
    </w:p>
    <w:p w14:paraId="680EE1BE" w14:textId="77777777" w:rsidR="004C67AE" w:rsidRDefault="004C67AE" w:rsidP="0071020B">
      <w:pPr>
        <w:rPr>
          <w:rFonts w:ascii="Times New Roman" w:hAnsi="Times New Roman" w:cs="Times New Roman"/>
          <w:b/>
          <w:bCs/>
          <w:lang w:val="de-DE"/>
        </w:rPr>
      </w:pPr>
    </w:p>
    <w:p w14:paraId="2E0AF636" w14:textId="77777777" w:rsidR="004C67AE" w:rsidRDefault="004C67AE" w:rsidP="0071020B">
      <w:pPr>
        <w:rPr>
          <w:rFonts w:ascii="Times New Roman" w:hAnsi="Times New Roman" w:cs="Times New Roman"/>
          <w:b/>
          <w:bCs/>
          <w:lang w:val="de-DE"/>
        </w:rPr>
      </w:pPr>
    </w:p>
    <w:p w14:paraId="54B09913" w14:textId="77777777" w:rsidR="004C67AE" w:rsidRDefault="004C67AE" w:rsidP="0071020B">
      <w:pPr>
        <w:rPr>
          <w:rFonts w:ascii="Times New Roman" w:hAnsi="Times New Roman" w:cs="Times New Roman"/>
          <w:b/>
          <w:bCs/>
          <w:lang w:val="de-DE"/>
        </w:rPr>
      </w:pPr>
    </w:p>
    <w:p w14:paraId="02DEE9B3" w14:textId="7594488F" w:rsidR="0071020B" w:rsidRPr="0071020B" w:rsidRDefault="0071020B" w:rsidP="0071020B">
      <w:pPr>
        <w:rPr>
          <w:rFonts w:ascii="Times New Roman" w:hAnsi="Times New Roman" w:cs="Times New Roman"/>
          <w:b/>
          <w:bCs/>
          <w:lang w:val="de-DE"/>
        </w:rPr>
      </w:pPr>
      <w:r w:rsidRPr="0071020B">
        <w:rPr>
          <w:rFonts w:ascii="Times New Roman" w:hAnsi="Times New Roman" w:cs="Times New Roman"/>
          <w:b/>
          <w:bCs/>
          <w:lang w:val="de-DE"/>
        </w:rPr>
        <w:t>Methodik:</w:t>
      </w:r>
    </w:p>
    <w:p w14:paraId="3CB8194C" w14:textId="77777777" w:rsidR="0071020B" w:rsidRPr="0071020B" w:rsidRDefault="0071020B" w:rsidP="0071020B">
      <w:pPr>
        <w:rPr>
          <w:rFonts w:ascii="Times New Roman" w:hAnsi="Times New Roman" w:cs="Times New Roman"/>
          <w:b/>
          <w:bCs/>
          <w:lang w:val="de-DE"/>
        </w:rPr>
      </w:pPr>
    </w:p>
    <w:p w14:paraId="7DAF44F6" w14:textId="77777777" w:rsidR="0071020B" w:rsidRDefault="0071020B" w:rsidP="0071020B">
      <w:pPr>
        <w:rPr>
          <w:rFonts w:ascii="Times New Roman" w:hAnsi="Times New Roman" w:cs="Times New Roman"/>
          <w:b/>
          <w:bCs/>
          <w:i/>
          <w:iCs/>
          <w:lang w:val="de-DE"/>
        </w:rPr>
      </w:pPr>
      <w:r w:rsidRPr="0071020B">
        <w:rPr>
          <w:rFonts w:ascii="Times New Roman" w:hAnsi="Times New Roman" w:cs="Times New Roman"/>
          <w:b/>
          <w:bCs/>
          <w:i/>
          <w:iCs/>
          <w:lang w:val="de-DE"/>
        </w:rPr>
        <w:t>Forschungsdesign:</w:t>
      </w:r>
    </w:p>
    <w:p w14:paraId="508BED37" w14:textId="77777777" w:rsidR="004C67AE" w:rsidRPr="0071020B" w:rsidRDefault="004C67AE" w:rsidP="0071020B">
      <w:pPr>
        <w:rPr>
          <w:rFonts w:ascii="Times New Roman" w:hAnsi="Times New Roman" w:cs="Times New Roman"/>
          <w:b/>
          <w:bCs/>
          <w:i/>
          <w:iCs/>
          <w:lang w:val="de-DE"/>
        </w:rPr>
      </w:pPr>
    </w:p>
    <w:p w14:paraId="47F585BB" w14:textId="77777777"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Wir schlagen eine prospektive, nicht interventionelle Studie vor, um die Hypothese dieser Studie zu testen.</w:t>
      </w:r>
    </w:p>
    <w:p w14:paraId="31183438" w14:textId="77777777" w:rsidR="0071020B" w:rsidRPr="0071020B" w:rsidRDefault="0071020B" w:rsidP="0071020B">
      <w:pPr>
        <w:rPr>
          <w:rFonts w:ascii="Times New Roman" w:hAnsi="Times New Roman" w:cs="Times New Roman"/>
          <w:lang w:val="de-DE"/>
        </w:rPr>
      </w:pPr>
    </w:p>
    <w:p w14:paraId="1A210945" w14:textId="77777777" w:rsidR="0071020B" w:rsidRDefault="0071020B" w:rsidP="0071020B">
      <w:pPr>
        <w:rPr>
          <w:rFonts w:ascii="Times New Roman" w:hAnsi="Times New Roman" w:cs="Times New Roman"/>
          <w:b/>
          <w:bCs/>
          <w:i/>
          <w:iCs/>
          <w:lang w:val="de-DE"/>
        </w:rPr>
      </w:pPr>
    </w:p>
    <w:p w14:paraId="089827A8" w14:textId="6ABAC4E9" w:rsidR="0071020B" w:rsidRPr="0071020B" w:rsidRDefault="0071020B" w:rsidP="0071020B">
      <w:pPr>
        <w:rPr>
          <w:rFonts w:ascii="Times New Roman" w:hAnsi="Times New Roman" w:cs="Times New Roman"/>
          <w:b/>
          <w:bCs/>
          <w:i/>
          <w:iCs/>
          <w:lang w:val="de-DE"/>
        </w:rPr>
      </w:pPr>
      <w:r w:rsidRPr="0071020B">
        <w:rPr>
          <w:rFonts w:ascii="Times New Roman" w:hAnsi="Times New Roman" w:cs="Times New Roman"/>
          <w:b/>
          <w:bCs/>
          <w:i/>
          <w:iCs/>
          <w:lang w:val="de-DE"/>
        </w:rPr>
        <w:t>Teilnehmer und Stichprobengröße:</w:t>
      </w:r>
    </w:p>
    <w:p w14:paraId="02B45353" w14:textId="77777777" w:rsidR="004C67AE" w:rsidRDefault="0071020B" w:rsidP="004C67AE">
      <w:pPr>
        <w:spacing w:before="100" w:beforeAutospacing="1" w:after="100" w:afterAutospacing="1"/>
        <w:rPr>
          <w:rFonts w:ascii="Times New Roman" w:hAnsi="Times New Roman" w:cs="Times New Roman"/>
          <w:lang w:val="de-DE"/>
        </w:rPr>
      </w:pPr>
      <w:r w:rsidRPr="0071020B">
        <w:rPr>
          <w:rFonts w:ascii="Times New Roman" w:hAnsi="Times New Roman" w:cs="Times New Roman"/>
          <w:lang w:val="de-DE"/>
        </w:rPr>
        <w:t xml:space="preserve">Die Zielgruppe umfasst Patienten im Alter von ≥ 18 Jahren mit großzelligem B-Zell-Lymphom, die mit einem verfügbaren/zugelassenen CAR-T-Produkt behandelt wurden. </w:t>
      </w:r>
    </w:p>
    <w:p w14:paraId="0455B05E" w14:textId="3662ADDA" w:rsidR="004C67AE" w:rsidRPr="004C67AE" w:rsidRDefault="004C67AE" w:rsidP="004C67AE">
      <w:pPr>
        <w:spacing w:before="100" w:beforeAutospacing="1" w:after="100" w:afterAutospacing="1"/>
        <w:rPr>
          <w:rFonts w:ascii="Times New Roman" w:eastAsia="Times New Roman" w:hAnsi="Times New Roman" w:cs="Times New Roman"/>
          <w:color w:val="000000"/>
          <w:kern w:val="0"/>
          <w:lang w:val="en-DE" w:eastAsia="en-GB"/>
          <w14:ligatures w14:val="none"/>
        </w:rPr>
      </w:pPr>
      <w:r w:rsidRPr="004C67AE">
        <w:rPr>
          <w:rFonts w:ascii="Times New Roman" w:eastAsia="Times New Roman" w:hAnsi="Times New Roman" w:cs="Times New Roman"/>
          <w:color w:val="000000"/>
          <w:kern w:val="0"/>
          <w:lang w:val="en-DE" w:eastAsia="en-GB"/>
          <w14:ligatures w14:val="none"/>
        </w:rPr>
        <w:t>Um einen statistisch signifikanten Unterschied im Durchmesser der Sehnervenscheide (ONSD) vor und nach der CAR-T-Infusion bei Patienten mit ICANS im Vergleich zu Patienten ohne ICANS zu erkennen, wird eine Kohorte von 42 Patienten benötigt.</w:t>
      </w:r>
    </w:p>
    <w:p w14:paraId="665BADDC" w14:textId="77777777" w:rsidR="004C67AE" w:rsidRPr="004C67AE" w:rsidRDefault="004C67AE" w:rsidP="004C67AE">
      <w:pPr>
        <w:spacing w:before="100" w:beforeAutospacing="1" w:after="100" w:afterAutospacing="1"/>
        <w:rPr>
          <w:rFonts w:ascii="Times New Roman" w:eastAsia="Times New Roman" w:hAnsi="Times New Roman" w:cs="Times New Roman"/>
          <w:color w:val="000000"/>
          <w:kern w:val="0"/>
          <w:lang w:val="en-DE" w:eastAsia="en-GB"/>
          <w14:ligatures w14:val="none"/>
        </w:rPr>
      </w:pPr>
      <w:r w:rsidRPr="004C67AE">
        <w:rPr>
          <w:rFonts w:ascii="Times New Roman" w:eastAsia="Times New Roman" w:hAnsi="Times New Roman" w:cs="Times New Roman"/>
          <w:color w:val="000000"/>
          <w:kern w:val="0"/>
          <w:lang w:val="en-DE" w:eastAsia="en-GB"/>
          <w14:ligatures w14:val="none"/>
        </w:rPr>
        <w:t>Die Berechnung der Stichprobengröße basierte auf folgenden Annahmen: ein Sehnervendurchmesser in der Allgemeinbevölkerung von 5 ± 0,1 mm, ein geschätzter Sehnervendurchmesser in der Studienpopulation von 6,9 ± 0,1 mm (basierend auf unserer Pilotstudie), eine Typ-I-Fehlerrate von 5 %, eine Typ-II-Fehlerrate von 20 % und eine statistische Power von 80 %.</w:t>
      </w:r>
    </w:p>
    <w:p w14:paraId="44A948CB" w14:textId="53D53C26" w:rsidR="0071020B" w:rsidRPr="004C67AE" w:rsidRDefault="004C67AE" w:rsidP="004C67AE">
      <w:pPr>
        <w:spacing w:before="100" w:beforeAutospacing="1" w:after="100" w:afterAutospacing="1"/>
        <w:rPr>
          <w:rFonts w:ascii="Times New Roman" w:eastAsia="Times New Roman" w:hAnsi="Times New Roman" w:cs="Times New Roman"/>
          <w:color w:val="000000"/>
          <w:kern w:val="0"/>
          <w:lang w:val="en-DE" w:eastAsia="en-GB"/>
          <w14:ligatures w14:val="none"/>
        </w:rPr>
      </w:pPr>
      <w:r w:rsidRPr="004C67AE">
        <w:rPr>
          <w:rFonts w:ascii="Times New Roman" w:eastAsia="Times New Roman" w:hAnsi="Times New Roman" w:cs="Times New Roman"/>
          <w:color w:val="000000"/>
          <w:kern w:val="0"/>
          <w:lang w:val="en-DE" w:eastAsia="en-GB"/>
          <w14:ligatures w14:val="none"/>
        </w:rPr>
        <w:t>Unter Verwendung einer Effektstärke von 0,42 (berechnet als der mediane ONSD-Anstieg von 0,2 dividiert durch den medianen Ausgangs-ONSD von 0,47 bei ICANS-Patienten aus unserer Pilotstudie) beträgt die minimale erforderliche Anzahl an ICANS-Patienten 14. Da nur ein Drittel der CAR-T-Empfänger voraussichtlich ein klinisches ICANS entwickelt, wird eine Gesamtstichprobengröße von 42 Patienten für diese Hypothese benötigt.</w:t>
      </w:r>
    </w:p>
    <w:p w14:paraId="2D5A7D52" w14:textId="77777777" w:rsidR="0071020B" w:rsidRDefault="0071020B" w:rsidP="0071020B">
      <w:pPr>
        <w:rPr>
          <w:rFonts w:ascii="Times New Roman" w:hAnsi="Times New Roman" w:cs="Times New Roman"/>
          <w:b/>
          <w:bCs/>
          <w:i/>
          <w:iCs/>
          <w:lang w:val="de-DE"/>
        </w:rPr>
      </w:pPr>
      <w:r w:rsidRPr="0071020B">
        <w:rPr>
          <w:rFonts w:ascii="Times New Roman" w:hAnsi="Times New Roman" w:cs="Times New Roman"/>
          <w:b/>
          <w:bCs/>
          <w:i/>
          <w:iCs/>
          <w:lang w:val="de-DE"/>
        </w:rPr>
        <w:t>Datensammlung:</w:t>
      </w:r>
    </w:p>
    <w:p w14:paraId="252E93A4" w14:textId="77777777" w:rsidR="004902CF" w:rsidRPr="0071020B" w:rsidRDefault="004902CF" w:rsidP="0071020B">
      <w:pPr>
        <w:rPr>
          <w:rFonts w:ascii="Times New Roman" w:hAnsi="Times New Roman" w:cs="Times New Roman"/>
          <w:b/>
          <w:bCs/>
          <w:i/>
          <w:iCs/>
          <w:lang w:val="de-DE"/>
        </w:rPr>
      </w:pPr>
    </w:p>
    <w:p w14:paraId="03868A02" w14:textId="59079D01"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 xml:space="preserve">Wir planen, die notwendigen Daten aus </w:t>
      </w:r>
      <w:r w:rsidR="00121C6B">
        <w:rPr>
          <w:rFonts w:ascii="Times New Roman" w:hAnsi="Times New Roman" w:cs="Times New Roman"/>
          <w:lang w:val="de-DE"/>
        </w:rPr>
        <w:t>dem GLA-Register zu</w:t>
      </w:r>
      <w:r w:rsidRPr="0071020B">
        <w:rPr>
          <w:rFonts w:ascii="Times New Roman" w:hAnsi="Times New Roman" w:cs="Times New Roman"/>
          <w:lang w:val="de-DE"/>
        </w:rPr>
        <w:t xml:space="preserve"> sammeln. Die Messung des Optikusnervs wird unter Verwendung der beschriebenen Methoden </w:t>
      </w:r>
      <w:r w:rsidR="00121C6B">
        <w:rPr>
          <w:rFonts w:ascii="Times New Roman" w:hAnsi="Times New Roman" w:cs="Times New Roman"/>
          <w:lang w:val="de-DE"/>
        </w:rPr>
        <w:t xml:space="preserve">durch die teilnehmenden Zentren </w:t>
      </w:r>
      <w:r w:rsidRPr="0071020B">
        <w:rPr>
          <w:rFonts w:ascii="Times New Roman" w:hAnsi="Times New Roman" w:cs="Times New Roman"/>
          <w:lang w:val="de-DE"/>
        </w:rPr>
        <w:t>durchgeführt</w:t>
      </w:r>
      <w:r w:rsidR="003A7E9F">
        <w:rPr>
          <w:rFonts w:ascii="Times New Roman" w:hAnsi="Times New Roman" w:cs="Times New Roman"/>
          <w:lang w:val="de-DE"/>
        </w:rPr>
        <w:t xml:space="preserve"> (Abb.1)</w:t>
      </w:r>
      <w:r w:rsidRPr="0071020B">
        <w:rPr>
          <w:rFonts w:ascii="Times New Roman" w:hAnsi="Times New Roman" w:cs="Times New Roman"/>
          <w:lang w:val="de-DE"/>
        </w:rPr>
        <w:t>.</w:t>
      </w:r>
      <w:sdt>
        <w:sdtPr>
          <w:rPr>
            <w:rFonts w:ascii="Times New Roman" w:hAnsi="Times New Roman" w:cs="Times New Roman"/>
            <w:color w:val="000000"/>
            <w:lang w:val="de-DE"/>
          </w:rPr>
          <w:tag w:val="MENDELEY_CITATION_v3_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"/>
          <w:id w:val="-506127396"/>
          <w:placeholder>
            <w:docPart w:val="DefaultPlaceholder_-1854013440"/>
          </w:placeholder>
        </w:sdtPr>
        <w:sdtContent>
          <w:r w:rsidR="00987219">
            <w:rPr>
              <w:rFonts w:ascii="Times New Roman" w:hAnsi="Times New Roman" w:cs="Times New Roman"/>
              <w:color w:val="000000"/>
              <w:lang w:val="de-DE"/>
            </w:rPr>
            <w:t>(12)</w:t>
          </w:r>
        </w:sdtContent>
      </w:sdt>
    </w:p>
    <w:p w14:paraId="5B6932AF" w14:textId="77777777" w:rsidR="0071020B" w:rsidRDefault="0071020B" w:rsidP="0071020B">
      <w:pPr>
        <w:rPr>
          <w:rFonts w:ascii="Times New Roman" w:hAnsi="Times New Roman" w:cs="Times New Roman"/>
          <w:lang w:val="de-DE"/>
        </w:rPr>
      </w:pPr>
    </w:p>
    <w:p w14:paraId="71122A5F" w14:textId="77777777" w:rsidR="003A7E9F" w:rsidRDefault="003A7E9F" w:rsidP="0071020B">
      <w:pPr>
        <w:rPr>
          <w:rFonts w:ascii="Times New Roman" w:hAnsi="Times New Roman" w:cs="Times New Roman"/>
          <w:lang w:val="de-DE"/>
        </w:rPr>
      </w:pPr>
    </w:p>
    <w:p w14:paraId="42EAFB48" w14:textId="3782DC5D" w:rsidR="003A7E9F" w:rsidRDefault="003A7E9F" w:rsidP="0071020B">
      <w:r>
        <w:lastRenderedPageBreak/>
        <w:fldChar w:fldCharType="begin"/>
      </w:r>
      <w:r>
        <w:instrText xml:space="preserve"> INCLUDEPICTURE "/Users/vadimlesan/Library/Group Containers/UBF8T346G9.ms/WebArchiveCopyPasteTempFiles/com.microsoft.Word/1-s2.0-S1439484714000416-gr1.jpg" \* MERGEFORMATINET </w:instrText>
      </w:r>
      <w:r>
        <w:fldChar w:fldCharType="separate"/>
      </w:r>
      <w:r>
        <w:rPr>
          <w:noProof/>
        </w:rPr>
        <w:drawing>
          <wp:inline distT="0" distB="0" distL="0" distR="0" wp14:anchorId="39DFA5F0" wp14:editId="46226B2E">
            <wp:extent cx="5791732" cy="2859932"/>
            <wp:effectExtent l="0" t="0" r="0" b="0"/>
            <wp:docPr id="760683007" name="Picture 2" descr="Sonographie des Nervus opticus und der Zentralarterie - ScienceDi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onographie des Nervus opticus und der Zentralarterie - ScienceDi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9852" cy="2863942"/>
                    </a:xfrm>
                    <a:prstGeom prst="rect">
                      <a:avLst/>
                    </a:prstGeom>
                    <a:noFill/>
                    <a:ln>
                      <a:noFill/>
                    </a:ln>
                  </pic:spPr>
                </pic:pic>
              </a:graphicData>
            </a:graphic>
          </wp:inline>
        </w:drawing>
      </w:r>
      <w:r>
        <w:fldChar w:fldCharType="end"/>
      </w:r>
    </w:p>
    <w:p w14:paraId="428D5C0F" w14:textId="77777777" w:rsidR="003A7E9F" w:rsidRDefault="003A7E9F" w:rsidP="0071020B"/>
    <w:p w14:paraId="15A6B582" w14:textId="6E605137" w:rsidR="003A7E9F" w:rsidRPr="003A7E9F" w:rsidRDefault="003A7E9F" w:rsidP="0071020B">
      <w:pPr>
        <w:rPr>
          <w:rFonts w:ascii="Times New Roman" w:hAnsi="Times New Roman" w:cs="Times New Roman"/>
          <w:b/>
          <w:bCs/>
          <w:i/>
          <w:iCs/>
        </w:rPr>
      </w:pPr>
      <w:r w:rsidRPr="003A7E9F">
        <w:rPr>
          <w:rFonts w:ascii="Times New Roman" w:hAnsi="Times New Roman" w:cs="Times New Roman"/>
          <w:b/>
          <w:bCs/>
          <w:i/>
          <w:iCs/>
        </w:rPr>
        <w:t xml:space="preserve">Abb.1 : </w:t>
      </w:r>
      <w:r w:rsidRPr="003A7E9F">
        <w:rPr>
          <w:rFonts w:ascii="Times New Roman" w:hAnsi="Times New Roman" w:cs="Times New Roman"/>
          <w:b/>
          <w:bCs/>
          <w:i/>
          <w:iCs/>
          <w:lang w:val="de-DE"/>
        </w:rPr>
        <w:t>Beispiel</w:t>
      </w:r>
      <w:r w:rsidRPr="003A7E9F">
        <w:rPr>
          <w:rFonts w:ascii="Times New Roman" w:hAnsi="Times New Roman" w:cs="Times New Roman"/>
          <w:b/>
          <w:bCs/>
          <w:i/>
          <w:iCs/>
        </w:rPr>
        <w:t xml:space="preserve"> </w:t>
      </w:r>
      <w:r w:rsidRPr="003A7E9F">
        <w:rPr>
          <w:rFonts w:ascii="Times New Roman" w:hAnsi="Times New Roman" w:cs="Times New Roman"/>
          <w:b/>
          <w:bCs/>
          <w:i/>
          <w:iCs/>
          <w:lang w:val="de-DE"/>
        </w:rPr>
        <w:t>einer</w:t>
      </w:r>
      <w:r w:rsidRPr="003A7E9F">
        <w:rPr>
          <w:rFonts w:ascii="Times New Roman" w:hAnsi="Times New Roman" w:cs="Times New Roman"/>
          <w:b/>
          <w:bCs/>
          <w:i/>
          <w:iCs/>
        </w:rPr>
        <w:t xml:space="preserve"> </w:t>
      </w:r>
      <w:r w:rsidRPr="003A7E9F">
        <w:rPr>
          <w:rFonts w:ascii="Times New Roman" w:hAnsi="Times New Roman" w:cs="Times New Roman"/>
          <w:b/>
          <w:bCs/>
          <w:i/>
          <w:iCs/>
          <w:lang w:val="de-DE"/>
        </w:rPr>
        <w:t>Sonographie</w:t>
      </w:r>
      <w:r w:rsidRPr="003A7E9F">
        <w:rPr>
          <w:rFonts w:ascii="Times New Roman" w:hAnsi="Times New Roman" w:cs="Times New Roman"/>
          <w:b/>
          <w:bCs/>
          <w:i/>
          <w:iCs/>
        </w:rPr>
        <w:t xml:space="preserve"> des Nervus opticus(12)</w:t>
      </w:r>
    </w:p>
    <w:p w14:paraId="6E767433" w14:textId="77777777" w:rsidR="003A7E9F" w:rsidRDefault="003A7E9F" w:rsidP="0071020B"/>
    <w:p w14:paraId="6D44CFCC" w14:textId="77777777" w:rsidR="003A7E9F" w:rsidRPr="0071020B" w:rsidRDefault="003A7E9F" w:rsidP="0071020B">
      <w:pPr>
        <w:rPr>
          <w:rFonts w:ascii="Times New Roman" w:hAnsi="Times New Roman" w:cs="Times New Roman"/>
          <w:lang w:val="de-DE"/>
        </w:rPr>
      </w:pPr>
    </w:p>
    <w:p w14:paraId="3661596C" w14:textId="77777777" w:rsidR="004C67AE" w:rsidRDefault="004C67AE" w:rsidP="0071020B">
      <w:pPr>
        <w:rPr>
          <w:rFonts w:ascii="Times New Roman" w:hAnsi="Times New Roman" w:cs="Times New Roman"/>
          <w:b/>
          <w:bCs/>
          <w:i/>
          <w:iCs/>
          <w:lang w:val="de-DE"/>
        </w:rPr>
      </w:pPr>
    </w:p>
    <w:p w14:paraId="3C43CE81" w14:textId="77777777" w:rsidR="004C67AE" w:rsidRDefault="004C67AE" w:rsidP="0071020B">
      <w:pPr>
        <w:rPr>
          <w:rFonts w:ascii="Times New Roman" w:hAnsi="Times New Roman" w:cs="Times New Roman"/>
          <w:b/>
          <w:bCs/>
          <w:i/>
          <w:iCs/>
          <w:lang w:val="de-DE"/>
        </w:rPr>
      </w:pPr>
    </w:p>
    <w:p w14:paraId="6DCA5A1C" w14:textId="4FB05F46" w:rsidR="0071020B" w:rsidRDefault="0071020B" w:rsidP="0071020B">
      <w:pPr>
        <w:rPr>
          <w:rFonts w:ascii="Times New Roman" w:hAnsi="Times New Roman" w:cs="Times New Roman"/>
          <w:b/>
          <w:bCs/>
          <w:i/>
          <w:iCs/>
          <w:lang w:val="de-DE"/>
        </w:rPr>
      </w:pPr>
      <w:r w:rsidRPr="0071020B">
        <w:rPr>
          <w:rFonts w:ascii="Times New Roman" w:hAnsi="Times New Roman" w:cs="Times New Roman"/>
          <w:b/>
          <w:bCs/>
          <w:i/>
          <w:iCs/>
          <w:lang w:val="de-DE"/>
        </w:rPr>
        <w:t>Datenanalyse:</w:t>
      </w:r>
    </w:p>
    <w:p w14:paraId="44BCF868" w14:textId="77777777" w:rsidR="004902CF" w:rsidRPr="0071020B" w:rsidRDefault="004902CF" w:rsidP="0071020B">
      <w:pPr>
        <w:rPr>
          <w:rFonts w:ascii="Times New Roman" w:hAnsi="Times New Roman" w:cs="Times New Roman"/>
          <w:b/>
          <w:bCs/>
          <w:i/>
          <w:iCs/>
          <w:lang w:val="de-DE"/>
        </w:rPr>
      </w:pPr>
    </w:p>
    <w:p w14:paraId="06EFCBA7" w14:textId="09E3D412"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 xml:space="preserve">Die Baseline-Charakteristika der Patienten werden deskriptiv nach Datentyp zusammengefasst. Die Daten werden mit Chi-Quadrat-, Mann-Whitney-U-Tests und dem unabhängigen Median-Test analysiert. Alle statistischen Tests werden zweiseitig mit einem Signifikanzniveau von 5% durchgeführt. Die Bonferroni-Methode wird implementiert, um für mehrere Vergleiche zu korrigieren. Alle Daten werden mit SPSS v25.0 (IBM, Ehningen, Deutschland) </w:t>
      </w:r>
      <w:r w:rsidR="00A138F8">
        <w:rPr>
          <w:rFonts w:ascii="Times New Roman" w:hAnsi="Times New Roman" w:cs="Times New Roman"/>
          <w:lang w:val="de-DE"/>
        </w:rPr>
        <w:t>und</w:t>
      </w:r>
      <w:r w:rsidR="00FE6DE0">
        <w:rPr>
          <w:rFonts w:ascii="Times New Roman" w:hAnsi="Times New Roman" w:cs="Times New Roman"/>
          <w:lang w:val="de-DE"/>
        </w:rPr>
        <w:t>/oder</w:t>
      </w:r>
      <w:r w:rsidR="00A138F8">
        <w:rPr>
          <w:rFonts w:ascii="Times New Roman" w:hAnsi="Times New Roman" w:cs="Times New Roman"/>
          <w:lang w:val="de-DE"/>
        </w:rPr>
        <w:t xml:space="preserve"> R </w:t>
      </w:r>
      <w:r w:rsidR="00FE6DE0">
        <w:rPr>
          <w:rFonts w:ascii="Times New Roman" w:hAnsi="Times New Roman" w:cs="Times New Roman"/>
          <w:lang w:val="de-DE"/>
        </w:rPr>
        <w:t xml:space="preserve">Statistics </w:t>
      </w:r>
      <w:r w:rsidRPr="0071020B">
        <w:rPr>
          <w:rFonts w:ascii="Times New Roman" w:hAnsi="Times New Roman" w:cs="Times New Roman"/>
          <w:lang w:val="de-DE"/>
        </w:rPr>
        <w:t>analysiert.</w:t>
      </w:r>
    </w:p>
    <w:p w14:paraId="3864734D" w14:textId="77777777" w:rsidR="0071020B" w:rsidRPr="0071020B" w:rsidRDefault="0071020B" w:rsidP="0071020B">
      <w:pPr>
        <w:rPr>
          <w:rFonts w:ascii="Times New Roman" w:hAnsi="Times New Roman" w:cs="Times New Roman"/>
          <w:lang w:val="de-DE"/>
        </w:rPr>
      </w:pPr>
    </w:p>
    <w:p w14:paraId="00A81C34" w14:textId="77777777" w:rsidR="0071020B" w:rsidRDefault="0071020B" w:rsidP="0071020B">
      <w:pPr>
        <w:rPr>
          <w:rFonts w:ascii="Times New Roman" w:hAnsi="Times New Roman" w:cs="Times New Roman"/>
          <w:b/>
          <w:bCs/>
          <w:i/>
          <w:iCs/>
          <w:lang w:val="de-DE"/>
        </w:rPr>
      </w:pPr>
      <w:r w:rsidRPr="0071020B">
        <w:rPr>
          <w:rFonts w:ascii="Times New Roman" w:hAnsi="Times New Roman" w:cs="Times New Roman"/>
          <w:b/>
          <w:bCs/>
          <w:i/>
          <w:iCs/>
          <w:lang w:val="de-DE"/>
        </w:rPr>
        <w:t>Ethiküberlegungen:</w:t>
      </w:r>
    </w:p>
    <w:p w14:paraId="33215123" w14:textId="77777777" w:rsidR="004902CF" w:rsidRPr="0071020B" w:rsidRDefault="004902CF" w:rsidP="0071020B">
      <w:pPr>
        <w:rPr>
          <w:rFonts w:ascii="Times New Roman" w:hAnsi="Times New Roman" w:cs="Times New Roman"/>
          <w:b/>
          <w:bCs/>
          <w:i/>
          <w:iCs/>
          <w:lang w:val="de-DE"/>
        </w:rPr>
      </w:pPr>
    </w:p>
    <w:p w14:paraId="4C4EB874" w14:textId="77777777"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Die Studie wird bei der örtlichen Ethikkommission (Ethikkommission der Ärztekammer des Saarlandes) eingereicht.</w:t>
      </w:r>
    </w:p>
    <w:p w14:paraId="2B13B12B" w14:textId="77777777" w:rsidR="00020D48" w:rsidRDefault="00020D48" w:rsidP="0071020B">
      <w:pPr>
        <w:rPr>
          <w:rFonts w:ascii="Times New Roman" w:hAnsi="Times New Roman" w:cs="Times New Roman"/>
          <w:b/>
          <w:bCs/>
          <w:i/>
          <w:iCs/>
          <w:lang w:val="de-DE"/>
        </w:rPr>
      </w:pPr>
    </w:p>
    <w:p w14:paraId="41378596" w14:textId="4AFEC68B" w:rsidR="0071020B" w:rsidRDefault="0071020B" w:rsidP="0071020B">
      <w:pPr>
        <w:rPr>
          <w:rFonts w:ascii="Times New Roman" w:hAnsi="Times New Roman" w:cs="Times New Roman"/>
          <w:b/>
          <w:bCs/>
          <w:i/>
          <w:iCs/>
          <w:lang w:val="de-DE"/>
        </w:rPr>
      </w:pPr>
      <w:r w:rsidRPr="0071020B">
        <w:rPr>
          <w:rFonts w:ascii="Times New Roman" w:hAnsi="Times New Roman" w:cs="Times New Roman"/>
          <w:b/>
          <w:bCs/>
          <w:i/>
          <w:iCs/>
          <w:lang w:val="de-DE"/>
        </w:rPr>
        <w:t>Bedeutung und Beitrag:</w:t>
      </w:r>
    </w:p>
    <w:p w14:paraId="7920D5D6" w14:textId="77777777" w:rsidR="004902CF" w:rsidRPr="0071020B" w:rsidRDefault="004902CF" w:rsidP="0071020B">
      <w:pPr>
        <w:rPr>
          <w:rFonts w:ascii="Times New Roman" w:hAnsi="Times New Roman" w:cs="Times New Roman"/>
          <w:b/>
          <w:bCs/>
          <w:i/>
          <w:iCs/>
          <w:lang w:val="de-DE"/>
        </w:rPr>
      </w:pPr>
    </w:p>
    <w:p w14:paraId="0A0CB1C6" w14:textId="77777777"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Wir glauben, dass die Verwendung sonographischer Maßnahmen des Optikusnervs die frühzeitige Erkennung von Patienten, die ein erhöhtes Risiko für ICANS haben, verbessern könnte. Dies wird zu besseren präventiven Maßnahmen und möglicherweise zu einer Verbesserung der nicht-rückfallbedingten Mortalität nach CAR-Therapie führen.</w:t>
      </w:r>
    </w:p>
    <w:p w14:paraId="240CC116" w14:textId="77777777" w:rsidR="0071020B" w:rsidRPr="0071020B" w:rsidRDefault="0071020B" w:rsidP="0071020B">
      <w:pPr>
        <w:rPr>
          <w:rFonts w:ascii="Times New Roman" w:hAnsi="Times New Roman" w:cs="Times New Roman"/>
          <w:lang w:val="de-DE"/>
        </w:rPr>
      </w:pPr>
    </w:p>
    <w:p w14:paraId="18583FC3" w14:textId="77777777" w:rsidR="0071020B" w:rsidRDefault="0071020B" w:rsidP="0071020B">
      <w:pPr>
        <w:rPr>
          <w:rFonts w:ascii="Times New Roman" w:hAnsi="Times New Roman" w:cs="Times New Roman"/>
          <w:b/>
          <w:bCs/>
          <w:i/>
          <w:iCs/>
          <w:lang w:val="de-DE"/>
        </w:rPr>
      </w:pPr>
      <w:r w:rsidRPr="0071020B">
        <w:rPr>
          <w:rFonts w:ascii="Times New Roman" w:hAnsi="Times New Roman" w:cs="Times New Roman"/>
          <w:b/>
          <w:bCs/>
          <w:i/>
          <w:iCs/>
          <w:lang w:val="de-DE"/>
        </w:rPr>
        <w:t>Zeitplan:</w:t>
      </w:r>
    </w:p>
    <w:p w14:paraId="79E0AC79" w14:textId="77777777" w:rsidR="00004A98" w:rsidRPr="0071020B" w:rsidRDefault="00004A98" w:rsidP="0071020B">
      <w:pPr>
        <w:rPr>
          <w:rFonts w:ascii="Times New Roman" w:hAnsi="Times New Roman" w:cs="Times New Roman"/>
          <w:b/>
          <w:bCs/>
          <w:i/>
          <w:iCs/>
          <w:lang w:val="de-DE"/>
        </w:rPr>
      </w:pPr>
    </w:p>
    <w:p w14:paraId="0C92DC5B" w14:textId="0094A32A" w:rsidR="0071020B" w:rsidRPr="0071020B" w:rsidRDefault="0071020B" w:rsidP="0071020B">
      <w:pPr>
        <w:rPr>
          <w:rFonts w:ascii="Times New Roman" w:hAnsi="Times New Roman" w:cs="Times New Roman"/>
          <w:lang w:val="de-DE"/>
        </w:rPr>
      </w:pPr>
      <w:r w:rsidRPr="0071020B">
        <w:rPr>
          <w:rFonts w:ascii="Times New Roman" w:hAnsi="Times New Roman" w:cs="Times New Roman"/>
          <w:lang w:val="de-DE"/>
        </w:rPr>
        <w:t xml:space="preserve">Angesichts einer erwarteten Mindestanzahl von 4 Patienten pro Monat mit großzelligem B-Zell-Lymphom, die an unserem Zentrum mit CAR-T behandelt werden, glauben wir, dass </w:t>
      </w:r>
      <w:r w:rsidR="00580293">
        <w:rPr>
          <w:rFonts w:ascii="Times New Roman" w:hAnsi="Times New Roman" w:cs="Times New Roman"/>
          <w:lang w:val="de-DE"/>
        </w:rPr>
        <w:t xml:space="preserve">mindestens </w:t>
      </w:r>
      <w:r w:rsidRPr="0071020B">
        <w:rPr>
          <w:rFonts w:ascii="Times New Roman" w:hAnsi="Times New Roman" w:cs="Times New Roman"/>
          <w:lang w:val="de-DE"/>
        </w:rPr>
        <w:t>3 Monate ausreichen, um die Daten für die Analyse zu generieren. Weitere 4 Wochen werden erforderlich sein, um zusätzliche Daten zu sammeln und zu analysieren.</w:t>
      </w:r>
    </w:p>
    <w:p w14:paraId="791C5197" w14:textId="77777777" w:rsidR="0071020B" w:rsidRPr="0071020B" w:rsidRDefault="0071020B" w:rsidP="0071020B">
      <w:pPr>
        <w:rPr>
          <w:rFonts w:ascii="Times New Roman" w:hAnsi="Times New Roman" w:cs="Times New Roman"/>
          <w:b/>
          <w:bCs/>
          <w:i/>
          <w:iCs/>
          <w:lang w:val="de-DE"/>
        </w:rPr>
      </w:pPr>
    </w:p>
    <w:p w14:paraId="4E731972" w14:textId="77777777" w:rsidR="0071020B" w:rsidRPr="0071020B" w:rsidRDefault="0071020B" w:rsidP="0071020B">
      <w:pPr>
        <w:rPr>
          <w:rFonts w:ascii="Times New Roman" w:hAnsi="Times New Roman" w:cs="Times New Roman"/>
          <w:lang w:val="de-DE"/>
        </w:rPr>
      </w:pPr>
    </w:p>
    <w:p w14:paraId="30A4138A" w14:textId="3845064B" w:rsidR="0071020B" w:rsidRDefault="004902CF" w:rsidP="0071020B">
      <w:pPr>
        <w:rPr>
          <w:rFonts w:ascii="Times New Roman" w:hAnsi="Times New Roman" w:cs="Times New Roman"/>
          <w:b/>
          <w:bCs/>
          <w:i/>
          <w:iCs/>
          <w:lang w:val="de-DE"/>
        </w:rPr>
      </w:pPr>
      <w:r>
        <w:rPr>
          <w:rFonts w:ascii="Times New Roman" w:hAnsi="Times New Roman" w:cs="Times New Roman"/>
          <w:b/>
          <w:bCs/>
          <w:i/>
          <w:iCs/>
          <w:lang w:val="de-DE"/>
        </w:rPr>
        <w:t>Bibliographie:</w:t>
      </w:r>
    </w:p>
    <w:p w14:paraId="4CF34DCF" w14:textId="77777777" w:rsidR="00987219" w:rsidRDefault="00987219" w:rsidP="0071020B">
      <w:pPr>
        <w:rPr>
          <w:rFonts w:ascii="Times New Roman" w:hAnsi="Times New Roman" w:cs="Times New Roman"/>
          <w:b/>
          <w:bCs/>
          <w:i/>
          <w:iCs/>
          <w:lang w:val="de-DE"/>
        </w:rPr>
      </w:pPr>
    </w:p>
    <w:sdt>
      <w:sdtPr>
        <w:rPr>
          <w:rFonts w:ascii="Times New Roman" w:hAnsi="Times New Roman" w:cs="Times New Roman"/>
        </w:rPr>
        <w:tag w:val="MENDELEY_BIBLIOGRAPHY"/>
        <w:id w:val="-514158116"/>
        <w:placeholder>
          <w:docPart w:val="B114302C02933349A97D2C14FFBF84BC"/>
        </w:placeholder>
      </w:sdtPr>
      <w:sdtContent>
        <w:p w14:paraId="08900E7D" w14:textId="77777777" w:rsidR="00987219" w:rsidRPr="00987219" w:rsidRDefault="00987219" w:rsidP="00987219">
          <w:pPr>
            <w:autoSpaceDE w:val="0"/>
            <w:autoSpaceDN w:val="0"/>
            <w:ind w:hanging="640"/>
            <w:rPr>
              <w:rFonts w:ascii="Times New Roman" w:eastAsia="Times New Roman" w:hAnsi="Times New Roman" w:cs="Times New Roman"/>
              <w:kern w:val="0"/>
              <w14:ligatures w14:val="none"/>
            </w:rPr>
          </w:pPr>
          <w:r w:rsidRPr="00987219">
            <w:rPr>
              <w:rFonts w:ascii="Times New Roman" w:eastAsia="Times New Roman" w:hAnsi="Times New Roman" w:cs="Times New Roman"/>
            </w:rPr>
            <w:t>1.</w:t>
          </w:r>
          <w:r w:rsidRPr="00987219">
            <w:rPr>
              <w:rFonts w:ascii="Times New Roman" w:eastAsia="Times New Roman" w:hAnsi="Times New Roman" w:cs="Times New Roman"/>
            </w:rPr>
            <w:tab/>
            <w:t xml:space="preserve">Zahid A, Siegler EL, </w:t>
          </w:r>
          <w:proofErr w:type="spellStart"/>
          <w:r w:rsidRPr="00987219">
            <w:rPr>
              <w:rFonts w:ascii="Times New Roman" w:eastAsia="Times New Roman" w:hAnsi="Times New Roman" w:cs="Times New Roman"/>
            </w:rPr>
            <w:t>Kenderian</w:t>
          </w:r>
          <w:proofErr w:type="spellEnd"/>
          <w:r w:rsidRPr="00987219">
            <w:rPr>
              <w:rFonts w:ascii="Times New Roman" w:eastAsia="Times New Roman" w:hAnsi="Times New Roman" w:cs="Times New Roman"/>
            </w:rPr>
            <w:t xml:space="preserve"> SS. CART Cell Toxicities: New Insight into Mechanisms and Management. Clin </w:t>
          </w:r>
          <w:proofErr w:type="spellStart"/>
          <w:r w:rsidRPr="00987219">
            <w:rPr>
              <w:rFonts w:ascii="Times New Roman" w:eastAsia="Times New Roman" w:hAnsi="Times New Roman" w:cs="Times New Roman"/>
            </w:rPr>
            <w:t>Hematol</w:t>
          </w:r>
          <w:proofErr w:type="spellEnd"/>
          <w:r w:rsidRPr="00987219">
            <w:rPr>
              <w:rFonts w:ascii="Times New Roman" w:eastAsia="Times New Roman" w:hAnsi="Times New Roman" w:cs="Times New Roman"/>
            </w:rPr>
            <w:t xml:space="preserve"> Int [Internet]. 2020 [cited 2024 Jan 21];2(4):149. Available from: /</w:t>
          </w:r>
          <w:proofErr w:type="spellStart"/>
          <w:r w:rsidRPr="00987219">
            <w:rPr>
              <w:rFonts w:ascii="Times New Roman" w:eastAsia="Times New Roman" w:hAnsi="Times New Roman" w:cs="Times New Roman"/>
            </w:rPr>
            <w:t>pmc</w:t>
          </w:r>
          <w:proofErr w:type="spellEnd"/>
          <w:r w:rsidRPr="00987219">
            <w:rPr>
              <w:rFonts w:ascii="Times New Roman" w:eastAsia="Times New Roman" w:hAnsi="Times New Roman" w:cs="Times New Roman"/>
            </w:rPr>
            <w:t>/articles/PMC7785104/</w:t>
          </w:r>
        </w:p>
        <w:p w14:paraId="19887F6B"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2.</w:t>
          </w:r>
          <w:r w:rsidRPr="00987219">
            <w:rPr>
              <w:rFonts w:ascii="Times New Roman" w:eastAsia="Times New Roman" w:hAnsi="Times New Roman" w:cs="Times New Roman"/>
            </w:rPr>
            <w:tab/>
            <w:t xml:space="preserve">Locke FL, Miklos DB, Jacobson CA, Perales MA, Kersten MJ, Oluwole OO, et al. </w:t>
          </w:r>
          <w:proofErr w:type="spellStart"/>
          <w:r w:rsidRPr="00987219">
            <w:rPr>
              <w:rFonts w:ascii="Times New Roman" w:eastAsia="Times New Roman" w:hAnsi="Times New Roman" w:cs="Times New Roman"/>
            </w:rPr>
            <w:t>Axicabtagene</w:t>
          </w:r>
          <w:proofErr w:type="spellEnd"/>
          <w:r w:rsidRPr="00987219">
            <w:rPr>
              <w:rFonts w:ascii="Times New Roman" w:eastAsia="Times New Roman" w:hAnsi="Times New Roman" w:cs="Times New Roman"/>
            </w:rPr>
            <w:t xml:space="preserve"> </w:t>
          </w:r>
          <w:proofErr w:type="spellStart"/>
          <w:r w:rsidRPr="00987219">
            <w:rPr>
              <w:rFonts w:ascii="Times New Roman" w:eastAsia="Times New Roman" w:hAnsi="Times New Roman" w:cs="Times New Roman"/>
            </w:rPr>
            <w:t>Ciloleucel</w:t>
          </w:r>
          <w:proofErr w:type="spellEnd"/>
          <w:r w:rsidRPr="00987219">
            <w:rPr>
              <w:rFonts w:ascii="Times New Roman" w:eastAsia="Times New Roman" w:hAnsi="Times New Roman" w:cs="Times New Roman"/>
            </w:rPr>
            <w:t xml:space="preserve"> as Second-Line Therapy for Large B-Cell Lymphoma. New England Journal of Medicine [Internet]. 2022 Feb 17 [cited 2024 Jan 21];386(7):640–54. Available from: https://www.nejm.org/doi/full/10.1056/NEJMoa2116133</w:t>
          </w:r>
        </w:p>
        <w:p w14:paraId="248CF394"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3.</w:t>
          </w:r>
          <w:r w:rsidRPr="00987219">
            <w:rPr>
              <w:rFonts w:ascii="Times New Roman" w:eastAsia="Times New Roman" w:hAnsi="Times New Roman" w:cs="Times New Roman"/>
            </w:rPr>
            <w:tab/>
            <w:t xml:space="preserve">Bethge WA, Martus P, Schmitt M, </w:t>
          </w:r>
          <w:proofErr w:type="spellStart"/>
          <w:r w:rsidRPr="00987219">
            <w:rPr>
              <w:rFonts w:ascii="Times New Roman" w:eastAsia="Times New Roman" w:hAnsi="Times New Roman" w:cs="Times New Roman"/>
            </w:rPr>
            <w:t>Holtick</w:t>
          </w:r>
          <w:proofErr w:type="spellEnd"/>
          <w:r w:rsidRPr="00987219">
            <w:rPr>
              <w:rFonts w:ascii="Times New Roman" w:eastAsia="Times New Roman" w:hAnsi="Times New Roman" w:cs="Times New Roman"/>
            </w:rPr>
            <w:t xml:space="preserve"> U, </w:t>
          </w:r>
          <w:proofErr w:type="spellStart"/>
          <w:r w:rsidRPr="00987219">
            <w:rPr>
              <w:rFonts w:ascii="Times New Roman" w:eastAsia="Times New Roman" w:hAnsi="Times New Roman" w:cs="Times New Roman"/>
            </w:rPr>
            <w:t>Subklewe</w:t>
          </w:r>
          <w:proofErr w:type="spellEnd"/>
          <w:r w:rsidRPr="00987219">
            <w:rPr>
              <w:rFonts w:ascii="Times New Roman" w:eastAsia="Times New Roman" w:hAnsi="Times New Roman" w:cs="Times New Roman"/>
            </w:rPr>
            <w:t xml:space="preserve"> M, von </w:t>
          </w:r>
          <w:proofErr w:type="spellStart"/>
          <w:r w:rsidRPr="00987219">
            <w:rPr>
              <w:rFonts w:ascii="Times New Roman" w:eastAsia="Times New Roman" w:hAnsi="Times New Roman" w:cs="Times New Roman"/>
            </w:rPr>
            <w:t>Tresckow</w:t>
          </w:r>
          <w:proofErr w:type="spellEnd"/>
          <w:r w:rsidRPr="00987219">
            <w:rPr>
              <w:rFonts w:ascii="Times New Roman" w:eastAsia="Times New Roman" w:hAnsi="Times New Roman" w:cs="Times New Roman"/>
            </w:rPr>
            <w:t xml:space="preserve"> B, et al. GLA/DRST real-world outcome analysis of CAR T-cell therapies for large B-cell lymphoma in Germany. Blood [Internet]. 2022 Jul 28 [cited 2024 Jan 21];140(4):349–58. Available from: https://pubmed.ncbi.nlm.nih.gov/35316325/</w:t>
          </w:r>
        </w:p>
        <w:p w14:paraId="4E694816"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4.</w:t>
          </w:r>
          <w:r w:rsidRPr="00987219">
            <w:rPr>
              <w:rFonts w:ascii="Times New Roman" w:eastAsia="Times New Roman" w:hAnsi="Times New Roman" w:cs="Times New Roman"/>
            </w:rPr>
            <w:tab/>
            <w:t xml:space="preserve">Jain MD, Smith M, Shah NN. How I treat refractory CRS and ICANS after CAR T-cell therapy. </w:t>
          </w:r>
        </w:p>
        <w:p w14:paraId="37FF4D3C"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5.</w:t>
          </w:r>
          <w:r w:rsidRPr="00987219">
            <w:rPr>
              <w:rFonts w:ascii="Times New Roman" w:eastAsia="Times New Roman" w:hAnsi="Times New Roman" w:cs="Times New Roman"/>
            </w:rPr>
            <w:tab/>
            <w:t xml:space="preserve">Oluwole OO, Bouabdallah K, Muñoz J, De Guibert S, Vose JM, Bartlett NL, et al. Prophylactic corticosteroid use in patients receiving </w:t>
          </w:r>
          <w:proofErr w:type="spellStart"/>
          <w:r w:rsidRPr="00987219">
            <w:rPr>
              <w:rFonts w:ascii="Times New Roman" w:eastAsia="Times New Roman" w:hAnsi="Times New Roman" w:cs="Times New Roman"/>
            </w:rPr>
            <w:t>axicabtagene</w:t>
          </w:r>
          <w:proofErr w:type="spellEnd"/>
          <w:r w:rsidRPr="00987219">
            <w:rPr>
              <w:rFonts w:ascii="Times New Roman" w:eastAsia="Times New Roman" w:hAnsi="Times New Roman" w:cs="Times New Roman"/>
            </w:rPr>
            <w:t xml:space="preserve"> </w:t>
          </w:r>
          <w:proofErr w:type="spellStart"/>
          <w:r w:rsidRPr="00987219">
            <w:rPr>
              <w:rFonts w:ascii="Times New Roman" w:eastAsia="Times New Roman" w:hAnsi="Times New Roman" w:cs="Times New Roman"/>
            </w:rPr>
            <w:t>ciloleucel</w:t>
          </w:r>
          <w:proofErr w:type="spellEnd"/>
          <w:r w:rsidRPr="00987219">
            <w:rPr>
              <w:rFonts w:ascii="Times New Roman" w:eastAsia="Times New Roman" w:hAnsi="Times New Roman" w:cs="Times New Roman"/>
            </w:rPr>
            <w:t xml:space="preserve"> for large B-cell lymphoma. Br J </w:t>
          </w:r>
          <w:proofErr w:type="spellStart"/>
          <w:r w:rsidRPr="00987219">
            <w:rPr>
              <w:rFonts w:ascii="Times New Roman" w:eastAsia="Times New Roman" w:hAnsi="Times New Roman" w:cs="Times New Roman"/>
            </w:rPr>
            <w:t>Haematol</w:t>
          </w:r>
          <w:proofErr w:type="spellEnd"/>
          <w:r w:rsidRPr="00987219">
            <w:rPr>
              <w:rFonts w:ascii="Times New Roman" w:eastAsia="Times New Roman" w:hAnsi="Times New Roman" w:cs="Times New Roman"/>
            </w:rPr>
            <w:t xml:space="preserve"> [Internet]. 2021 Aug 1 [cited 2024 Jan 21];194(4):690–700. Available from: https://pubmed.ncbi.nlm.nih.gov/34296427/</w:t>
          </w:r>
        </w:p>
        <w:p w14:paraId="5842B716"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6.</w:t>
          </w:r>
          <w:r w:rsidRPr="00987219">
            <w:rPr>
              <w:rFonts w:ascii="Times New Roman" w:eastAsia="Times New Roman" w:hAnsi="Times New Roman" w:cs="Times New Roman"/>
            </w:rPr>
            <w:tab/>
            <w:t xml:space="preserve">Lakomy T, </w:t>
          </w:r>
          <w:proofErr w:type="spellStart"/>
          <w:r w:rsidRPr="00987219">
            <w:rPr>
              <w:rFonts w:ascii="Times New Roman" w:eastAsia="Times New Roman" w:hAnsi="Times New Roman" w:cs="Times New Roman"/>
            </w:rPr>
            <w:t>Akhoundova</w:t>
          </w:r>
          <w:proofErr w:type="spellEnd"/>
          <w:r w:rsidRPr="00987219">
            <w:rPr>
              <w:rFonts w:ascii="Times New Roman" w:eastAsia="Times New Roman" w:hAnsi="Times New Roman" w:cs="Times New Roman"/>
            </w:rPr>
            <w:t xml:space="preserve"> D, </w:t>
          </w:r>
          <w:proofErr w:type="spellStart"/>
          <w:r w:rsidRPr="00987219">
            <w:rPr>
              <w:rFonts w:ascii="Times New Roman" w:eastAsia="Times New Roman" w:hAnsi="Times New Roman" w:cs="Times New Roman"/>
            </w:rPr>
            <w:t>Nilius</w:t>
          </w:r>
          <w:proofErr w:type="spellEnd"/>
          <w:r w:rsidRPr="00987219">
            <w:rPr>
              <w:rFonts w:ascii="Times New Roman" w:eastAsia="Times New Roman" w:hAnsi="Times New Roman" w:cs="Times New Roman"/>
            </w:rPr>
            <w:t xml:space="preserve"> H, </w:t>
          </w:r>
          <w:proofErr w:type="spellStart"/>
          <w:r w:rsidRPr="00987219">
            <w:rPr>
              <w:rFonts w:ascii="Times New Roman" w:eastAsia="Times New Roman" w:hAnsi="Times New Roman" w:cs="Times New Roman"/>
            </w:rPr>
            <w:t>Kronig</w:t>
          </w:r>
          <w:proofErr w:type="spellEnd"/>
          <w:r w:rsidRPr="00987219">
            <w:rPr>
              <w:rFonts w:ascii="Times New Roman" w:eastAsia="Times New Roman" w:hAnsi="Times New Roman" w:cs="Times New Roman"/>
            </w:rPr>
            <w:t xml:space="preserve"> MN, Novak U, Daskalakis M, et al. Early Use of Corticosteroids following CAR T-Cell Therapy Correlates with Reduced Risk of High-Grade CRS without Negative Impact on Neurotoxicity or Treatment Outcome. Biomolecules [Internet]. 2023 Feb 1 [cited 2024 Jan 21];13(2). Available from: /</w:t>
          </w:r>
          <w:proofErr w:type="spellStart"/>
          <w:r w:rsidRPr="00987219">
            <w:rPr>
              <w:rFonts w:ascii="Times New Roman" w:eastAsia="Times New Roman" w:hAnsi="Times New Roman" w:cs="Times New Roman"/>
            </w:rPr>
            <w:t>pmc</w:t>
          </w:r>
          <w:proofErr w:type="spellEnd"/>
          <w:r w:rsidRPr="00987219">
            <w:rPr>
              <w:rFonts w:ascii="Times New Roman" w:eastAsia="Times New Roman" w:hAnsi="Times New Roman" w:cs="Times New Roman"/>
            </w:rPr>
            <w:t>/articles/PMC9953517/</w:t>
          </w:r>
        </w:p>
        <w:p w14:paraId="12769AFD"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7.</w:t>
          </w:r>
          <w:r w:rsidRPr="00987219">
            <w:rPr>
              <w:rFonts w:ascii="Times New Roman" w:eastAsia="Times New Roman" w:hAnsi="Times New Roman" w:cs="Times New Roman"/>
            </w:rPr>
            <w:tab/>
            <w:t>Park JH, Nath K, Devlin SM, Sauter CS, Palomba ML, Shah G, et al. CD19 CAR T-cell therapy and prophylactic anakinra in relapsed or refractory lymphoma: phase 2 trial interim results. Nature Medicine 2023 29:7 [Internet]. 2023 Jul 3 [cited 2024 Jan 21];29(7):1710–7. Available from: https://www.nature.com/articles/s41591-023-02404-6</w:t>
          </w:r>
        </w:p>
        <w:p w14:paraId="6B24A723"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8.</w:t>
          </w:r>
          <w:r w:rsidRPr="00987219">
            <w:rPr>
              <w:rFonts w:ascii="Times New Roman" w:eastAsia="Times New Roman" w:hAnsi="Times New Roman" w:cs="Times New Roman"/>
            </w:rPr>
            <w:tab/>
          </w:r>
          <w:proofErr w:type="spellStart"/>
          <w:r w:rsidRPr="00987219">
            <w:rPr>
              <w:rFonts w:ascii="Times New Roman" w:eastAsia="Times New Roman" w:hAnsi="Times New Roman" w:cs="Times New Roman"/>
            </w:rPr>
            <w:t>Genoud</w:t>
          </w:r>
          <w:proofErr w:type="spellEnd"/>
          <w:r w:rsidRPr="00987219">
            <w:rPr>
              <w:rFonts w:ascii="Times New Roman" w:eastAsia="Times New Roman" w:hAnsi="Times New Roman" w:cs="Times New Roman"/>
            </w:rPr>
            <w:t xml:space="preserve"> V, Migliorini D. Novel pathophysiological insights into CAR-T cell associated neurotoxicity. Front Neurol. 2023 Mar 8;14:1108297. </w:t>
          </w:r>
        </w:p>
        <w:p w14:paraId="782CD1A3"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9.</w:t>
          </w:r>
          <w:r w:rsidRPr="00987219">
            <w:rPr>
              <w:rFonts w:ascii="Times New Roman" w:eastAsia="Times New Roman" w:hAnsi="Times New Roman" w:cs="Times New Roman"/>
            </w:rPr>
            <w:tab/>
            <w:t xml:space="preserve">Richards E, </w:t>
          </w:r>
          <w:proofErr w:type="spellStart"/>
          <w:r w:rsidRPr="00987219">
            <w:rPr>
              <w:rFonts w:ascii="Times New Roman" w:eastAsia="Times New Roman" w:hAnsi="Times New Roman" w:cs="Times New Roman"/>
            </w:rPr>
            <w:t>Munakomi</w:t>
          </w:r>
          <w:proofErr w:type="spellEnd"/>
          <w:r w:rsidRPr="00987219">
            <w:rPr>
              <w:rFonts w:ascii="Times New Roman" w:eastAsia="Times New Roman" w:hAnsi="Times New Roman" w:cs="Times New Roman"/>
            </w:rPr>
            <w:t xml:space="preserve"> S, Mathew D. Optic Nerve Sheath Ultrasound. </w:t>
          </w:r>
          <w:proofErr w:type="spellStart"/>
          <w:r w:rsidRPr="00987219">
            <w:rPr>
              <w:rFonts w:ascii="Times New Roman" w:eastAsia="Times New Roman" w:hAnsi="Times New Roman" w:cs="Times New Roman"/>
            </w:rPr>
            <w:t>StatPearls</w:t>
          </w:r>
          <w:proofErr w:type="spellEnd"/>
          <w:r w:rsidRPr="00987219">
            <w:rPr>
              <w:rFonts w:ascii="Times New Roman" w:eastAsia="Times New Roman" w:hAnsi="Times New Roman" w:cs="Times New Roman"/>
            </w:rPr>
            <w:t xml:space="preserve"> [Internet]. 2023 Aug 13 [cited 2024 Jan 21]; Available from: https://www.ncbi.nlm.nih.gov/books/NBK554479/</w:t>
          </w:r>
        </w:p>
        <w:p w14:paraId="6A735804"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10.</w:t>
          </w:r>
          <w:r w:rsidRPr="00987219">
            <w:rPr>
              <w:rFonts w:ascii="Times New Roman" w:eastAsia="Times New Roman" w:hAnsi="Times New Roman" w:cs="Times New Roman"/>
            </w:rPr>
            <w:tab/>
            <w:t xml:space="preserve">Ghanem G, Haase D, Brzezinski A, Ogawa R, </w:t>
          </w:r>
          <w:proofErr w:type="spellStart"/>
          <w:r w:rsidRPr="00987219">
            <w:rPr>
              <w:rFonts w:ascii="Times New Roman" w:eastAsia="Times New Roman" w:hAnsi="Times New Roman" w:cs="Times New Roman"/>
            </w:rPr>
            <w:t>Asachi</w:t>
          </w:r>
          <w:proofErr w:type="spellEnd"/>
          <w:r w:rsidRPr="00987219">
            <w:rPr>
              <w:rFonts w:ascii="Times New Roman" w:eastAsia="Times New Roman" w:hAnsi="Times New Roman" w:cs="Times New Roman"/>
            </w:rPr>
            <w:t xml:space="preserve"> P, Chiem A. Ultrasound detected increase in optic disk height to identify elevated intracranial pressure: a systematic review. Ultrasound J [Internet]. 2023 Dec 1 [cited 2024 Jan 21];15(1):26. Available from: /</w:t>
          </w:r>
          <w:proofErr w:type="spellStart"/>
          <w:r w:rsidRPr="00987219">
            <w:rPr>
              <w:rFonts w:ascii="Times New Roman" w:eastAsia="Times New Roman" w:hAnsi="Times New Roman" w:cs="Times New Roman"/>
            </w:rPr>
            <w:t>pmc</w:t>
          </w:r>
          <w:proofErr w:type="spellEnd"/>
          <w:r w:rsidRPr="00987219">
            <w:rPr>
              <w:rFonts w:ascii="Times New Roman" w:eastAsia="Times New Roman" w:hAnsi="Times New Roman" w:cs="Times New Roman"/>
            </w:rPr>
            <w:t>/articles/PMC10212868/</w:t>
          </w:r>
        </w:p>
        <w:p w14:paraId="660490C1"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11.</w:t>
          </w:r>
          <w:r w:rsidRPr="00987219">
            <w:rPr>
              <w:rFonts w:ascii="Times New Roman" w:eastAsia="Times New Roman" w:hAnsi="Times New Roman" w:cs="Times New Roman"/>
            </w:rPr>
            <w:tab/>
            <w:t>Mohamed A, Alharbi N, Salahuddin N, Hussain I, Solaiman O. Optic nerve sheath diameter by bedside ultrasound is a reliable screening test for cerebral edema in the comatose ICU patient. Critical Care 2015 19:1 [Internet]. 2015 Mar 16 [cited 2024 Jan 21];19(1):1–201. Available from: https://ccforum.biomedcentral.com/articles/10.1186/cc14537</w:t>
          </w:r>
        </w:p>
        <w:p w14:paraId="58322D41" w14:textId="77777777" w:rsidR="00987219" w:rsidRPr="00987219" w:rsidRDefault="00987219" w:rsidP="00987219">
          <w:pPr>
            <w:autoSpaceDE w:val="0"/>
            <w:autoSpaceDN w:val="0"/>
            <w:ind w:hanging="640"/>
            <w:rPr>
              <w:rFonts w:ascii="Times New Roman" w:eastAsia="Times New Roman" w:hAnsi="Times New Roman" w:cs="Times New Roman"/>
            </w:rPr>
          </w:pPr>
          <w:r w:rsidRPr="00987219">
            <w:rPr>
              <w:rFonts w:ascii="Times New Roman" w:eastAsia="Times New Roman" w:hAnsi="Times New Roman" w:cs="Times New Roman"/>
            </w:rPr>
            <w:t>12.</w:t>
          </w:r>
          <w:r w:rsidRPr="00987219">
            <w:rPr>
              <w:rFonts w:ascii="Times New Roman" w:eastAsia="Times New Roman" w:hAnsi="Times New Roman" w:cs="Times New Roman"/>
            </w:rPr>
            <w:tab/>
          </w:r>
          <w:proofErr w:type="spellStart"/>
          <w:r w:rsidRPr="00987219">
            <w:rPr>
              <w:rFonts w:ascii="Times New Roman" w:eastAsia="Times New Roman" w:hAnsi="Times New Roman" w:cs="Times New Roman"/>
            </w:rPr>
            <w:t>Nedelmann</w:t>
          </w:r>
          <w:proofErr w:type="spellEnd"/>
          <w:r w:rsidRPr="00987219">
            <w:rPr>
              <w:rFonts w:ascii="Times New Roman" w:eastAsia="Times New Roman" w:hAnsi="Times New Roman" w:cs="Times New Roman"/>
            </w:rPr>
            <w:t xml:space="preserve"> M. </w:t>
          </w:r>
          <w:proofErr w:type="spellStart"/>
          <w:r w:rsidRPr="00987219">
            <w:rPr>
              <w:rFonts w:ascii="Times New Roman" w:eastAsia="Times New Roman" w:hAnsi="Times New Roman" w:cs="Times New Roman"/>
            </w:rPr>
            <w:t>Sonographie</w:t>
          </w:r>
          <w:proofErr w:type="spellEnd"/>
          <w:r w:rsidRPr="00987219">
            <w:rPr>
              <w:rFonts w:ascii="Times New Roman" w:eastAsia="Times New Roman" w:hAnsi="Times New Roman" w:cs="Times New Roman"/>
            </w:rPr>
            <w:t xml:space="preserve"> des Nervus opticus und der </w:t>
          </w:r>
          <w:proofErr w:type="spellStart"/>
          <w:r w:rsidRPr="00987219">
            <w:rPr>
              <w:rFonts w:ascii="Times New Roman" w:eastAsia="Times New Roman" w:hAnsi="Times New Roman" w:cs="Times New Roman"/>
            </w:rPr>
            <w:t>Zentralarterie</w:t>
          </w:r>
          <w:proofErr w:type="spellEnd"/>
          <w:r w:rsidRPr="00987219">
            <w:rPr>
              <w:rFonts w:ascii="Times New Roman" w:eastAsia="Times New Roman" w:hAnsi="Times New Roman" w:cs="Times New Roman"/>
            </w:rPr>
            <w:t xml:space="preserve">. Das </w:t>
          </w:r>
          <w:proofErr w:type="spellStart"/>
          <w:r w:rsidRPr="00987219">
            <w:rPr>
              <w:rFonts w:ascii="Times New Roman" w:eastAsia="Times New Roman" w:hAnsi="Times New Roman" w:cs="Times New Roman"/>
            </w:rPr>
            <w:t>Neurophysiologie</w:t>
          </w:r>
          <w:proofErr w:type="spellEnd"/>
          <w:r w:rsidRPr="00987219">
            <w:rPr>
              <w:rFonts w:ascii="Times New Roman" w:eastAsia="Times New Roman" w:hAnsi="Times New Roman" w:cs="Times New Roman"/>
            </w:rPr>
            <w:t xml:space="preserve">-Labor. 2014 Dec 1;36(4):127–34. </w:t>
          </w:r>
        </w:p>
        <w:p w14:paraId="17FEFB18" w14:textId="77777777" w:rsidR="00987219" w:rsidRDefault="00987219" w:rsidP="00987219">
          <w:pPr>
            <w:rPr>
              <w:rFonts w:ascii="Times New Roman" w:hAnsi="Times New Roman" w:cs="Times New Roman"/>
            </w:rPr>
          </w:pPr>
          <w:r w:rsidRPr="00987219">
            <w:rPr>
              <w:rFonts w:ascii="Times New Roman" w:eastAsia="Times New Roman" w:hAnsi="Times New Roman" w:cs="Times New Roman"/>
            </w:rPr>
            <w:t> </w:t>
          </w:r>
        </w:p>
      </w:sdtContent>
    </w:sdt>
    <w:p w14:paraId="793B3D59" w14:textId="77777777" w:rsidR="00987219" w:rsidRPr="0071020B" w:rsidRDefault="00987219" w:rsidP="0071020B">
      <w:pPr>
        <w:rPr>
          <w:rFonts w:ascii="Times New Roman" w:hAnsi="Times New Roman" w:cs="Times New Roman"/>
          <w:b/>
          <w:bCs/>
          <w:i/>
          <w:iCs/>
          <w:lang w:val="de-DE"/>
        </w:rPr>
      </w:pPr>
    </w:p>
    <w:p w14:paraId="218E68E8" w14:textId="77777777" w:rsidR="0071020B" w:rsidRPr="0071020B" w:rsidRDefault="0071020B" w:rsidP="0071020B">
      <w:pPr>
        <w:rPr>
          <w:rFonts w:ascii="Times New Roman" w:hAnsi="Times New Roman" w:cs="Times New Roman"/>
          <w:lang w:val="de-DE"/>
        </w:rPr>
      </w:pPr>
    </w:p>
    <w:sdt>
      <w:sdtPr>
        <w:rPr>
          <w:rFonts w:ascii="Times New Roman" w:hAnsi="Times New Roman" w:cs="Times New Roman"/>
          <w:lang w:val="de-DE"/>
        </w:rPr>
        <w:tag w:val="MENDELEY_BIBLIOGRAPHY"/>
        <w:id w:val="1609538156"/>
        <w:placeholder>
          <w:docPart w:val="E20539C3991C1946A7F0FF1EC21A3DF6"/>
        </w:placeholder>
      </w:sdtPr>
      <w:sdtContent>
        <w:p w14:paraId="029A925C" w14:textId="08AB84F8" w:rsidR="00987219" w:rsidRDefault="00987219" w:rsidP="00987219">
          <w:pPr>
            <w:autoSpaceDE w:val="0"/>
            <w:autoSpaceDN w:val="0"/>
            <w:ind w:hanging="640"/>
            <w:divId w:val="1635722075"/>
            <w:rPr>
              <w:rFonts w:eastAsia="Times New Roman"/>
              <w:kern w:val="0"/>
              <w14:ligatures w14:val="none"/>
            </w:rPr>
          </w:pPr>
          <w:r>
            <w:rPr>
              <w:rFonts w:eastAsia="Times New Roman"/>
            </w:rPr>
            <w:t xml:space="preserve"> </w:t>
          </w:r>
        </w:p>
        <w:p w14:paraId="0E46A29B" w14:textId="7EED8997" w:rsidR="0071020B" w:rsidRPr="0071020B" w:rsidRDefault="00987219" w:rsidP="0071020B">
          <w:pPr>
            <w:rPr>
              <w:rFonts w:ascii="Times New Roman" w:hAnsi="Times New Roman" w:cs="Times New Roman"/>
              <w:lang w:val="de-DE"/>
            </w:rPr>
          </w:pPr>
          <w:r>
            <w:rPr>
              <w:rFonts w:eastAsia="Times New Roman"/>
            </w:rPr>
            <w:t> </w:t>
          </w:r>
        </w:p>
      </w:sdtContent>
    </w:sdt>
    <w:p w14:paraId="46D8BC52" w14:textId="77777777" w:rsidR="0071020B" w:rsidRPr="0071020B" w:rsidRDefault="0071020B" w:rsidP="0071020B">
      <w:pPr>
        <w:rPr>
          <w:rFonts w:ascii="Times New Roman" w:hAnsi="Times New Roman" w:cs="Times New Roman"/>
          <w:lang w:val="de-DE"/>
        </w:rPr>
      </w:pPr>
    </w:p>
    <w:p w14:paraId="192A6345" w14:textId="77777777" w:rsidR="0001227E" w:rsidRPr="0071020B" w:rsidRDefault="0001227E">
      <w:pPr>
        <w:rPr>
          <w:lang w:val="de-DE"/>
        </w:rPr>
      </w:pPr>
    </w:p>
    <w:sectPr w:rsidR="0001227E" w:rsidRPr="0071020B" w:rsidSect="005B614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20B"/>
    <w:rsid w:val="00004A98"/>
    <w:rsid w:val="0001227E"/>
    <w:rsid w:val="00020D48"/>
    <w:rsid w:val="00121C6B"/>
    <w:rsid w:val="003A7E9F"/>
    <w:rsid w:val="004902CF"/>
    <w:rsid w:val="004C67AE"/>
    <w:rsid w:val="00580293"/>
    <w:rsid w:val="005B6146"/>
    <w:rsid w:val="006844CD"/>
    <w:rsid w:val="0071020B"/>
    <w:rsid w:val="00783003"/>
    <w:rsid w:val="00823E05"/>
    <w:rsid w:val="00987219"/>
    <w:rsid w:val="00A138F8"/>
    <w:rsid w:val="00AA4558"/>
    <w:rsid w:val="00C6178A"/>
    <w:rsid w:val="00D634D6"/>
    <w:rsid w:val="00FE6DE0"/>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035AF930"/>
  <w15:chartTrackingRefBased/>
  <w15:docId w15:val="{DE13862B-57E5-5F45-A282-BE7F1AC0E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20B"/>
    <w:rPr>
      <w:lang w:val="en-US"/>
    </w:rPr>
  </w:style>
  <w:style w:type="paragraph" w:styleId="Heading1">
    <w:name w:val="heading 1"/>
    <w:basedOn w:val="Normal"/>
    <w:next w:val="Normal"/>
    <w:link w:val="Heading1Char"/>
    <w:uiPriority w:val="9"/>
    <w:qFormat/>
    <w:rsid w:val="0071020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020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020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020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020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020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020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020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020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020B"/>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semiHidden/>
    <w:rsid w:val="0071020B"/>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71020B"/>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71020B"/>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71020B"/>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71020B"/>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71020B"/>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71020B"/>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71020B"/>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71020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020B"/>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71020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020B"/>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71020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1020B"/>
    <w:rPr>
      <w:i/>
      <w:iCs/>
      <w:color w:val="404040" w:themeColor="text1" w:themeTint="BF"/>
      <w:lang w:val="en-US"/>
    </w:rPr>
  </w:style>
  <w:style w:type="paragraph" w:styleId="ListParagraph">
    <w:name w:val="List Paragraph"/>
    <w:basedOn w:val="Normal"/>
    <w:uiPriority w:val="34"/>
    <w:qFormat/>
    <w:rsid w:val="0071020B"/>
    <w:pPr>
      <w:ind w:left="720"/>
      <w:contextualSpacing/>
    </w:pPr>
  </w:style>
  <w:style w:type="character" w:styleId="IntenseEmphasis">
    <w:name w:val="Intense Emphasis"/>
    <w:basedOn w:val="DefaultParagraphFont"/>
    <w:uiPriority w:val="21"/>
    <w:qFormat/>
    <w:rsid w:val="0071020B"/>
    <w:rPr>
      <w:i/>
      <w:iCs/>
      <w:color w:val="2F5496" w:themeColor="accent1" w:themeShade="BF"/>
    </w:rPr>
  </w:style>
  <w:style w:type="paragraph" w:styleId="IntenseQuote">
    <w:name w:val="Intense Quote"/>
    <w:basedOn w:val="Normal"/>
    <w:next w:val="Normal"/>
    <w:link w:val="IntenseQuoteChar"/>
    <w:uiPriority w:val="30"/>
    <w:qFormat/>
    <w:rsid w:val="0071020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020B"/>
    <w:rPr>
      <w:i/>
      <w:iCs/>
      <w:color w:val="2F5496" w:themeColor="accent1" w:themeShade="BF"/>
      <w:lang w:val="en-US"/>
    </w:rPr>
  </w:style>
  <w:style w:type="character" w:styleId="IntenseReference">
    <w:name w:val="Intense Reference"/>
    <w:basedOn w:val="DefaultParagraphFont"/>
    <w:uiPriority w:val="32"/>
    <w:qFormat/>
    <w:rsid w:val="0071020B"/>
    <w:rPr>
      <w:b/>
      <w:bCs/>
      <w:smallCaps/>
      <w:color w:val="2F5496" w:themeColor="accent1" w:themeShade="BF"/>
      <w:spacing w:val="5"/>
    </w:rPr>
  </w:style>
  <w:style w:type="character" w:styleId="PlaceholderText">
    <w:name w:val="Placeholder Text"/>
    <w:basedOn w:val="DefaultParagraphFont"/>
    <w:uiPriority w:val="99"/>
    <w:semiHidden/>
    <w:rsid w:val="0098721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972275">
      <w:bodyDiv w:val="1"/>
      <w:marLeft w:val="0"/>
      <w:marRight w:val="0"/>
      <w:marTop w:val="0"/>
      <w:marBottom w:val="0"/>
      <w:divBdr>
        <w:top w:val="none" w:sz="0" w:space="0" w:color="auto"/>
        <w:left w:val="none" w:sz="0" w:space="0" w:color="auto"/>
        <w:bottom w:val="none" w:sz="0" w:space="0" w:color="auto"/>
        <w:right w:val="none" w:sz="0" w:space="0" w:color="auto"/>
      </w:divBdr>
    </w:div>
    <w:div w:id="1577209845">
      <w:bodyDiv w:val="1"/>
      <w:marLeft w:val="0"/>
      <w:marRight w:val="0"/>
      <w:marTop w:val="0"/>
      <w:marBottom w:val="0"/>
      <w:divBdr>
        <w:top w:val="none" w:sz="0" w:space="0" w:color="auto"/>
        <w:left w:val="none" w:sz="0" w:space="0" w:color="auto"/>
        <w:bottom w:val="none" w:sz="0" w:space="0" w:color="auto"/>
        <w:right w:val="none" w:sz="0" w:space="0" w:color="auto"/>
      </w:divBdr>
      <w:divsChild>
        <w:div w:id="163572207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20539C3991C1946A7F0FF1EC21A3DF6"/>
        <w:category>
          <w:name w:val="General"/>
          <w:gallery w:val="placeholder"/>
        </w:category>
        <w:types>
          <w:type w:val="bbPlcHdr"/>
        </w:types>
        <w:behaviors>
          <w:behavior w:val="content"/>
        </w:behaviors>
        <w:guid w:val="{0F8B3803-FC2E-6F4B-A162-AA6F718AB3E6}"/>
      </w:docPartPr>
      <w:docPartBody>
        <w:p w:rsidR="000801BB" w:rsidRDefault="00830F93" w:rsidP="00830F93">
          <w:pPr>
            <w:pStyle w:val="E20539C3991C1946A7F0FF1EC21A3DF6"/>
          </w:pPr>
          <w:r w:rsidRPr="008F26E9">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BCE877E9-6F4F-CC42-84E1-192897270EAF}"/>
      </w:docPartPr>
      <w:docPartBody>
        <w:p w:rsidR="000801BB" w:rsidRDefault="00830F93">
          <w:r w:rsidRPr="008F26E9">
            <w:rPr>
              <w:rStyle w:val="PlaceholderText"/>
            </w:rPr>
            <w:t>Click or tap here to enter text.</w:t>
          </w:r>
        </w:p>
      </w:docPartBody>
    </w:docPart>
    <w:docPart>
      <w:docPartPr>
        <w:name w:val="B114302C02933349A97D2C14FFBF84BC"/>
        <w:category>
          <w:name w:val="General"/>
          <w:gallery w:val="placeholder"/>
        </w:category>
        <w:types>
          <w:type w:val="bbPlcHdr"/>
        </w:types>
        <w:behaviors>
          <w:behavior w:val="content"/>
        </w:behaviors>
        <w:guid w:val="{13A16B89-08AB-D748-918D-6A035213999E}"/>
      </w:docPartPr>
      <w:docPartBody>
        <w:p w:rsidR="000801BB" w:rsidRDefault="00830F93" w:rsidP="00830F93">
          <w:pPr>
            <w:pStyle w:val="B114302C02933349A97D2C14FFBF84BC"/>
          </w:pPr>
          <w:r w:rsidRPr="008F26E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roman"/>
    <w:notTrueType/>
    <w:pitch w:val="default"/>
  </w:font>
  <w:font w:name="Aptos Display">
    <w:panose1 w:val="020B0004020202020204"/>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F93"/>
    <w:rsid w:val="000801BB"/>
    <w:rsid w:val="0054111C"/>
    <w:rsid w:val="00830F93"/>
    <w:rsid w:val="00BA622C"/>
    <w:rsid w:val="00C6178A"/>
    <w:rsid w:val="00F23D41"/>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DE"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30F93"/>
    <w:rPr>
      <w:color w:val="666666"/>
    </w:rPr>
  </w:style>
  <w:style w:type="paragraph" w:customStyle="1" w:styleId="E20539C3991C1946A7F0FF1EC21A3DF6">
    <w:name w:val="E20539C3991C1946A7F0FF1EC21A3DF6"/>
    <w:rsid w:val="00830F93"/>
  </w:style>
  <w:style w:type="paragraph" w:customStyle="1" w:styleId="B114302C02933349A97D2C14FFBF84BC">
    <w:name w:val="B114302C02933349A97D2C14FFBF84BC"/>
    <w:rsid w:val="00830F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0D476E9-8A01-B441-934B-9A4484E09731}">
  <we:reference id="wa104382081" version="1.55.1.0" store="en-GB" storeType="OMEX"/>
  <we:alternateReferences>
    <we:reference id="wa104382081" version="1.55.1.0" store="en-GB" storeType="OMEX"/>
  </we:alternateReferences>
  <we:properties>
    <we:property name="MENDELEY_CITATIONS" value="[{&quot;citationID&quot;:&quot;MENDELEY_CITATION_4e50f85a-8da8-4a88-9c95-b2e4110cc6fa&quot;,&quot;properties&quot;:{&quot;noteIndex&quot;:0},&quot;isEdited&quot;:false,&quot;manualOverride&quot;:{&quot;isManuallyOverridden&quot;:false,&quot;citeprocText&quot;:&quot;(1)&quot;,&quot;manualOverrideText&quot;:&quot;&quot;},&quot;citationTag&quot;:&quot;MENDELEY_CITATION_v3_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&quot;,&quot;citationItems&quot;:[{&quot;id&quot;:&quot;f9b45e01-181f-3090-a2ae-11eefce0e78d&quot;,&quot;itemData&quot;:{&quot;type&quot;:&quot;article-journal&quot;,&quot;id&quot;:&quot;f9b45e01-181f-3090-a2ae-11eefce0e78d&quot;,&quot;title&quot;:&quot;Sonographie des Nervus opticus und der Zentralarterie&quot;,&quot;author&quot;:[{&quot;family&quot;:&quot;Nedelmann&quot;,&quot;given&quot;:&quot;Max&quot;,&quot;parse-names&quot;:false,&quot;dropping-particle&quot;:&quot;&quot;,&quot;non-dropping-particle&quot;:&quot;&quot;}],&quot;container-title&quot;:&quot;Das Neurophysiologie-Labor&quot;,&quot;accessed&quot;:{&quot;date-parts&quot;:[[2024,1,21]]},&quot;DOI&quot;:&quot;10.1016/J.NEULAB.2014.10.001&quot;,&quot;ISSN&quot;:&quot;1439-4847&quot;,&quot;issued&quot;:{&quot;date-parts&quot;:[[2014,12,1]]},&quot;page&quot;:&quot;127-134&quot;,&quot;abstract&quot;:&quot;B-mode songraphy of the optic nerve and Doppler sonography of the central retinal artery are easy and quick to perform investigations that may give valuable information in a variety of diseases. In recent years multiple studies have been published that document the value of transorbital sonography for diagnostic workup of diseases with increased intracranial pressure and of intracranial hypotension. In this context, determination of the diameter of the optic nerve sheath as an indicator of raised intracranial pressure and evaluation of papilledema are of central interest.Another application is diagnosis of cenral retinal artery occlusion, determined by absence of Doppler sonographic flow signals. The detection of a so-called retrobulbar \&quot;spot sign\&quot; within the occluded artery gives additional information. This article summarizes examination techniques and indications of transorbital sonography for evaluation of increased intracranial pressure, intracranial hypotension and central retinal artery occlusion.&quot;,&quot;publisher&quot;:&quot;Urban &amp; Fischer&quot;,&quot;issue&quot;:&quot;4&quot;,&quot;volume&quot;:&quot;36&quot;,&quot;container-title-short&quot;:&quot;&quot;},&quot;isTemporary&quot;:false}]}]"/>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24B556-7EF0-5B48-8706-D6D06EAFA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4</Pages>
  <Words>1361</Words>
  <Characters>7763</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vadim lesan</dc:creator>
  <cp:keywords/>
  <dc:description/>
  <cp:lastModifiedBy>Vadim Lesan</cp:lastModifiedBy>
  <cp:revision>14</cp:revision>
  <dcterms:created xsi:type="dcterms:W3CDTF">2024-01-21T22:13:00Z</dcterms:created>
  <dcterms:modified xsi:type="dcterms:W3CDTF">2025-03-25T19:17:00Z</dcterms:modified>
</cp:coreProperties>
</file>